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48F1" w:rsidRDefault="00E8749C">
      <w:r>
        <w:rPr>
          <w:noProof/>
        </w:rPr>
        <w:drawing>
          <wp:inline distT="0" distB="0" distL="0" distR="0">
            <wp:extent cx="5274310" cy="7453703"/>
            <wp:effectExtent l="0" t="0" r="2540" b="0"/>
            <wp:docPr id="1" name="圖片 1" descr="D:\a311公文檔\行政中立\行政中立\104年行政中立\1041202「公務人員行政中立法與實務」數位課程\宣導海報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311公文檔\行政中立\行政中立\104年行政中立\1041202「公務人員行政中立法與實務」數位課程\宣導海報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3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C48F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749C"/>
    <w:rsid w:val="007C48F1"/>
    <w:rsid w:val="00E87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749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E8749C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749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E8749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>DOP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張詠涵</dc:creator>
  <cp:lastModifiedBy>張詠涵</cp:lastModifiedBy>
  <cp:revision>1</cp:revision>
  <dcterms:created xsi:type="dcterms:W3CDTF">2015-12-02T07:40:00Z</dcterms:created>
  <dcterms:modified xsi:type="dcterms:W3CDTF">2015-12-02T07:40:00Z</dcterms:modified>
</cp:coreProperties>
</file>